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Nove Varoši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884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t xml:space="preserve">Nova Varoš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Broj stanovnika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uppressLineNumbers w:val="0"/>
            </w:pPr>
            <w:r>
              <w:rPr>
                <w:rFonts w:ascii="Asana" w:hAnsi="Asana" w:eastAsia="Arial Narrow" w:cs="Asana"/>
                <w:i/>
                <w:iCs/>
                <w:color w:val="000000"/>
                <w:sz w:val="22"/>
                <w:szCs w:val="22"/>
              </w:rPr>
            </w:r>
            <w:r>
              <w:drawing>
                <wp:inline distT="0" distB="0" distL="0" distR="0">
                  <wp:extent cx="4021477" cy="2166343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r>
            <w:r/>
          </w:p>
          <w:p>
            <w:pP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g.1948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20170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g.1953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21848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g.1961</w:t>
            </w:r>
            <w:r>
              <w:rPr>
                <w:rFonts w:ascii="Asana" w:hAnsi="Asana" w:cs="Asana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  <w:t xml:space="preserve">24770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g.1971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22740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g.1981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22523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g.1991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21812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g.2002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20149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g.2011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16638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  <w:color w:val="000000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g.2022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13507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Tabela 1. – Ukupan broj stanovnika po popisima</w:t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Nova Varoš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0-4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5-9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10-14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15-19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20-24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25-29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30-34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35-39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40-44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45-49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50-54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55-59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60-64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65-69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70-74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75-79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80-84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85-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ukupno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20170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21848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24770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22740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2115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1990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1545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876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22523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1638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1409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1146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21812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1131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1742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1262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540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20149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735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742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890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1095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840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873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965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16638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609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795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921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1106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482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338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13507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Tabela 2. – Starosna struktura stanovnika zabeležena u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5066052" cy="2946272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za Novu Varoš jasno pokazuju značajan pad broja stanovnika i promene u starosnoj strukturi tokom decenija. Ovo je deo šireg demografskog trenda koji pogađa ruralne i manje opštine u Srbiji. Analiza se fokusira na ukupne brojke, starosnu strukturu 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uzroke promena.</w:t>
      </w:r>
      <w:r/>
    </w:p>
    <w:p>
      <w:pPr>
        <w:pStyle w:val="85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vreme:</w:t>
      </w:r>
      <w:r/>
    </w:p>
    <w:p>
      <w:pPr>
        <w:pStyle w:val="1032"/>
        <w:numPr>
          <w:ilvl w:val="0"/>
          <w:numId w:val="70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do 1961. godine:</w:t>
      </w:r>
      <w:r/>
    </w:p>
    <w:p>
      <w:pPr>
        <w:pStyle w:val="1032"/>
        <w:numPr>
          <w:ilvl w:val="0"/>
          <w:numId w:val="7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raste sa 20.170 (1948) na 24.770 (1961), verovatno usled visokog nataliteta u periodu posle Drugog svetskog rata.</w:t>
      </w:r>
      <w:r/>
    </w:p>
    <w:p>
      <w:pPr>
        <w:pStyle w:val="1032"/>
        <w:numPr>
          <w:ilvl w:val="0"/>
          <w:numId w:val="72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i početni pad (1971–1991):</w:t>
      </w:r>
      <w:r/>
    </w:p>
    <w:p>
      <w:pPr>
        <w:pStyle w:val="1032"/>
        <w:numPr>
          <w:ilvl w:val="0"/>
          <w:numId w:val="7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opada sa 22.740 (1971) na 21.812 (1991). Ovo ukazuje na početak migracija ka urbanim centrima i niži natalitet.</w:t>
      </w:r>
      <w:r/>
    </w:p>
    <w:p>
      <w:pPr>
        <w:pStyle w:val="1032"/>
        <w:numPr>
          <w:ilvl w:val="0"/>
          <w:numId w:val="74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pad od 2002. godine:</w:t>
      </w:r>
      <w:r/>
    </w:p>
    <w:p>
      <w:pPr>
        <w:pStyle w:val="1032"/>
        <w:numPr>
          <w:ilvl w:val="0"/>
          <w:numId w:val="7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Popis 2002. beleži 20.149 stanovnika, a broj opada na 16.638 (2011) i 13.507 (2022). Ovo predstavlja dramatičan pad od preko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poslednjih 20 godina.</w:t>
      </w:r>
      <w:r/>
    </w:p>
    <w:p>
      <w:pPr>
        <w:pStyle w:val="85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1032"/>
        <w:numPr>
          <w:ilvl w:val="0"/>
          <w:numId w:val="7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pad:</w:t>
      </w:r>
      <w:r/>
    </w:p>
    <w:p>
      <w:pPr>
        <w:pStyle w:val="1032"/>
        <w:numPr>
          <w:ilvl w:val="0"/>
          <w:numId w:val="7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godine opada sa 1.751 (1981) na samo 460 (2022). Ovo ukazuje na smanjenje nataliteta.</w:t>
      </w:r>
      <w:r/>
    </w:p>
    <w:p>
      <w:pPr>
        <w:pStyle w:val="1032"/>
        <w:numPr>
          <w:ilvl w:val="0"/>
          <w:numId w:val="7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dece i mladih (0–19 godina):</w:t>
      </w:r>
      <w:r/>
    </w:p>
    <w:p>
      <w:pPr>
        <w:pStyle w:val="1032"/>
        <w:numPr>
          <w:ilvl w:val="0"/>
          <w:numId w:val="7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7.064 (31% ukupne populacije).</w:t>
      </w:r>
      <w:r/>
    </w:p>
    <w:p>
      <w:pPr>
        <w:pStyle w:val="1032"/>
        <w:numPr>
          <w:ilvl w:val="0"/>
          <w:numId w:val="8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2.056 (15% ukupne populacije).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1032"/>
        <w:numPr>
          <w:ilvl w:val="0"/>
          <w:numId w:val="8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Postepeni pad:</w:t>
      </w:r>
      <w:r/>
    </w:p>
    <w:p>
      <w:pPr>
        <w:pStyle w:val="1032"/>
        <w:numPr>
          <w:ilvl w:val="0"/>
          <w:numId w:val="8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radno sposobnih (20–59 godina) opada, ali ne tako drastično kao kod dece. Ove grupe i dalje dominiraju ukupnom populacijom.</w:t>
      </w:r>
      <w:r/>
    </w:p>
    <w:p>
      <w:pPr>
        <w:pStyle w:val="1032"/>
        <w:numPr>
          <w:ilvl w:val="0"/>
          <w:numId w:val="8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primer, grupa 20–59 godina:</w:t>
      </w:r>
      <w:r/>
    </w:p>
    <w:p>
      <w:pPr>
        <w:pStyle w:val="1032"/>
        <w:numPr>
          <w:ilvl w:val="0"/>
          <w:numId w:val="8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10.000 (44% ukupne populacije).</w:t>
      </w:r>
      <w:r/>
    </w:p>
    <w:p>
      <w:pPr>
        <w:pStyle w:val="1032"/>
        <w:numPr>
          <w:ilvl w:val="0"/>
          <w:numId w:val="8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6.400 (47% ukupne populacije).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1032"/>
        <w:numPr>
          <w:ilvl w:val="0"/>
          <w:numId w:val="8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rast udela:</w:t>
      </w:r>
      <w:r/>
    </w:p>
    <w:p>
      <w:pPr>
        <w:pStyle w:val="1032"/>
        <w:numPr>
          <w:ilvl w:val="0"/>
          <w:numId w:val="8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starijih od 60 godina značajno raste, što ukazuje na starenje populacije.</w:t>
      </w:r>
      <w:r/>
    </w:p>
    <w:p>
      <w:pPr>
        <w:pStyle w:val="1032"/>
        <w:numPr>
          <w:ilvl w:val="0"/>
          <w:numId w:val="8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primer:</w:t>
      </w:r>
      <w:r/>
    </w:p>
    <w:p>
      <w:pPr>
        <w:pStyle w:val="1032"/>
        <w:numPr>
          <w:ilvl w:val="0"/>
          <w:numId w:val="8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3.500 (15% ukupne populacije).</w:t>
      </w:r>
      <w:r/>
    </w:p>
    <w:p>
      <w:pPr>
        <w:pStyle w:val="1032"/>
        <w:numPr>
          <w:ilvl w:val="0"/>
          <w:numId w:val="9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5.051 (37% ukupne populacije).</w:t>
      </w:r>
      <w:r/>
    </w:p>
    <w:p>
      <w:pPr>
        <w:pStyle w:val="85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demografski trendovi: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Smanjenje nataliteta:</w:t>
      </w:r>
      <w:r/>
    </w:p>
    <w:p>
      <w:pPr>
        <w:pStyle w:val="1032"/>
        <w:numPr>
          <w:ilvl w:val="0"/>
          <w:numId w:val="9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Znatno manji broj novorođenih u poslednjih nekoliko decenija ukazuje na manji prirodni priraštaj. Broj dece (0–4 godine) opada sa 1.751 (1981) na samo 460 (2022).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Intenzivne migracije:</w:t>
      </w:r>
      <w:r/>
    </w:p>
    <w:p>
      <w:pPr>
        <w:pStyle w:val="1032"/>
        <w:numPr>
          <w:ilvl w:val="0"/>
          <w:numId w:val="9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Mladi i radno sposobni odlaze u veće gradove ili inostranstvo u potrazi za poslom. Ovo dodatno doprinosi opadanju broja stanovnika.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Starenje populacije:</w:t>
      </w:r>
      <w:r/>
    </w:p>
    <w:p>
      <w:pPr>
        <w:pStyle w:val="1032"/>
        <w:numPr>
          <w:ilvl w:val="0"/>
          <w:numId w:val="9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Stariji od 60 godina sada čine trećinu ukupne populacije, dok deca i mladi postaju sve manji deo. Ovo predstavlja izazov za lokalnu zajednicu u pogledu socijalnih usluga i održivosti.</w:t>
      </w:r>
      <w:r/>
    </w:p>
    <w:p>
      <w:pPr>
        <w:pStyle w:val="85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Predikcije za 2031. i 2041. godinu: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možemo predvideti: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Ukupan broj stanovnika:</w:t>
      </w:r>
      <w:r/>
    </w:p>
    <w:p>
      <w:pPr>
        <w:pStyle w:val="1032"/>
        <w:numPr>
          <w:ilvl w:val="0"/>
          <w:numId w:val="9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2031. godina:</w:t>
      </w:r>
      <w:r/>
    </w:p>
    <w:p>
      <w:pPr>
        <w:pStyle w:val="1032"/>
        <w:numPr>
          <w:ilvl w:val="0"/>
          <w:numId w:val="9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stanovnika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oko 11.500–12.000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032"/>
        <w:numPr>
          <w:ilvl w:val="0"/>
          <w:numId w:val="9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2041. godina:</w:t>
      </w:r>
      <w:r/>
    </w:p>
    <w:p>
      <w:pPr>
        <w:pStyle w:val="1032"/>
        <w:numPr>
          <w:ilvl w:val="0"/>
          <w:numId w:val="9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Dalji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oko 9.500–10.000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85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Starosna struktura:</w:t>
      </w:r>
      <w:r/>
    </w:p>
    <w:p>
      <w:pPr>
        <w:pStyle w:val="1032"/>
        <w:numPr>
          <w:ilvl w:val="0"/>
          <w:numId w:val="9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Deca i mladi (0–19 godina):</w:t>
      </w:r>
      <w:r/>
    </w:p>
    <w:p>
      <w:pPr>
        <w:pStyle w:val="1032"/>
        <w:numPr>
          <w:ilvl w:val="0"/>
          <w:numId w:val="9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pasti na oko 10–12% ukupne populacije.</w:t>
      </w:r>
      <w:r/>
    </w:p>
    <w:p>
      <w:pPr>
        <w:pStyle w:val="1032"/>
        <w:numPr>
          <w:ilvl w:val="0"/>
          <w:numId w:val="10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Starije stanovništvo (60+ godina):</w:t>
      </w:r>
      <w:r/>
    </w:p>
    <w:p>
      <w:pPr>
        <w:pStyle w:val="1032"/>
        <w:numPr>
          <w:ilvl w:val="0"/>
          <w:numId w:val="10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rasti i do 40–45% ukupne populacije.</w:t>
      </w:r>
      <w:r/>
    </w:p>
    <w:p>
      <w:pPr>
        <w:pStyle w:val="85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1032"/>
        <w:numPr>
          <w:ilvl w:val="0"/>
          <w:numId w:val="10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Smanjenje broja stanovnika, starenje populacije i odlazak mladih čine ključne izazove za Novu Varoš.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/>
    </w:p>
    <w:p>
      <w:pPr>
        <w:pStyle w:val="1032"/>
        <w:numPr>
          <w:ilvl w:val="0"/>
          <w:numId w:val="10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nataliteta: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Finansijske i socijalne mere za mlade porodice.</w:t>
      </w:r>
      <w:r/>
    </w:p>
    <w:p>
      <w:pPr>
        <w:pStyle w:val="1032"/>
        <w:numPr>
          <w:ilvl w:val="0"/>
          <w:numId w:val="10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Zadržavanje stanovništva: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Kreiranje radnih mesta i podsticanje lokalnog razvoja.</w:t>
      </w:r>
      <w:r/>
    </w:p>
    <w:p>
      <w:pPr>
        <w:pStyle w:val="1032"/>
        <w:numPr>
          <w:ilvl w:val="0"/>
          <w:numId w:val="10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Prilagođavanje usluga: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Razviti infrastrukturu i usluge za stariju populaciju.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right"/>
    </w:pPr>
    <w:fldSimple w:instr="PAGE \* MERGEFORMAT">
      <w:r>
        <w:t xml:space="preserve">1</w:t>
      </w:r>
    </w:fldSimple>
    <w:r/>
    <w:r/>
  </w:p>
  <w:p>
    <w:pPr>
      <w:pStyle w:val="880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2">
    <w:name w:val="Heading 1"/>
    <w:basedOn w:val="1028"/>
    <w:next w:val="1028"/>
    <w:link w:val="8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3">
    <w:name w:val="Heading 1 Char"/>
    <w:link w:val="852"/>
    <w:uiPriority w:val="9"/>
    <w:rPr>
      <w:rFonts w:ascii="Arial" w:hAnsi="Arial" w:eastAsia="Arial" w:cs="Arial"/>
      <w:sz w:val="40"/>
      <w:szCs w:val="40"/>
    </w:rPr>
  </w:style>
  <w:style w:type="paragraph" w:styleId="854">
    <w:name w:val="Heading 2"/>
    <w:basedOn w:val="1028"/>
    <w:next w:val="1028"/>
    <w:link w:val="8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5">
    <w:name w:val="Heading 2 Char"/>
    <w:link w:val="854"/>
    <w:uiPriority w:val="9"/>
    <w:rPr>
      <w:rFonts w:ascii="Arial" w:hAnsi="Arial" w:eastAsia="Arial" w:cs="Arial"/>
      <w:sz w:val="34"/>
    </w:rPr>
  </w:style>
  <w:style w:type="paragraph" w:styleId="856">
    <w:name w:val="Heading 3"/>
    <w:basedOn w:val="1028"/>
    <w:next w:val="1028"/>
    <w:link w:val="8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7">
    <w:name w:val="Heading 3 Char"/>
    <w:link w:val="856"/>
    <w:uiPriority w:val="9"/>
    <w:rPr>
      <w:rFonts w:ascii="Arial" w:hAnsi="Arial" w:eastAsia="Arial" w:cs="Arial"/>
      <w:sz w:val="30"/>
      <w:szCs w:val="30"/>
    </w:rPr>
  </w:style>
  <w:style w:type="paragraph" w:styleId="858">
    <w:name w:val="Heading 4"/>
    <w:basedOn w:val="1028"/>
    <w:next w:val="1028"/>
    <w:link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9">
    <w:name w:val="Heading 4 Char"/>
    <w:link w:val="858"/>
    <w:uiPriority w:val="9"/>
    <w:rPr>
      <w:rFonts w:ascii="Arial" w:hAnsi="Arial" w:eastAsia="Arial" w:cs="Arial"/>
      <w:b/>
      <w:bCs/>
      <w:sz w:val="26"/>
      <w:szCs w:val="26"/>
    </w:rPr>
  </w:style>
  <w:style w:type="paragraph" w:styleId="860">
    <w:name w:val="Heading 5"/>
    <w:basedOn w:val="1028"/>
    <w:next w:val="1028"/>
    <w:link w:val="8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1">
    <w:name w:val="Heading 5 Char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862">
    <w:name w:val="Heading 6"/>
    <w:basedOn w:val="1028"/>
    <w:next w:val="1028"/>
    <w:link w:val="8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3">
    <w:name w:val="Heading 6 Char"/>
    <w:link w:val="862"/>
    <w:uiPriority w:val="9"/>
    <w:rPr>
      <w:rFonts w:ascii="Arial" w:hAnsi="Arial" w:eastAsia="Arial" w:cs="Arial"/>
      <w:b/>
      <w:bCs/>
      <w:sz w:val="22"/>
      <w:szCs w:val="22"/>
    </w:rPr>
  </w:style>
  <w:style w:type="paragraph" w:styleId="864">
    <w:name w:val="Heading 7"/>
    <w:basedOn w:val="1028"/>
    <w:next w:val="1028"/>
    <w:link w:val="8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5">
    <w:name w:val="Heading 7 Char"/>
    <w:link w:val="8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6">
    <w:name w:val="Heading 8"/>
    <w:basedOn w:val="1028"/>
    <w:next w:val="1028"/>
    <w:link w:val="8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7">
    <w:name w:val="Heading 8 Char"/>
    <w:link w:val="866"/>
    <w:uiPriority w:val="9"/>
    <w:rPr>
      <w:rFonts w:ascii="Arial" w:hAnsi="Arial" w:eastAsia="Arial" w:cs="Arial"/>
      <w:i/>
      <w:iCs/>
      <w:sz w:val="22"/>
      <w:szCs w:val="22"/>
    </w:rPr>
  </w:style>
  <w:style w:type="paragraph" w:styleId="868">
    <w:name w:val="Heading 9"/>
    <w:basedOn w:val="1028"/>
    <w:next w:val="1028"/>
    <w:link w:val="8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9">
    <w:name w:val="Heading 9 Char"/>
    <w:link w:val="868"/>
    <w:uiPriority w:val="9"/>
    <w:rPr>
      <w:rFonts w:ascii="Arial" w:hAnsi="Arial" w:eastAsia="Arial" w:cs="Arial"/>
      <w:i/>
      <w:iCs/>
      <w:sz w:val="21"/>
      <w:szCs w:val="21"/>
    </w:rPr>
  </w:style>
  <w:style w:type="paragraph" w:styleId="870">
    <w:name w:val="Title"/>
    <w:basedOn w:val="1028"/>
    <w:next w:val="1028"/>
    <w:link w:val="8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1">
    <w:name w:val="Title Char"/>
    <w:link w:val="870"/>
    <w:uiPriority w:val="10"/>
    <w:rPr>
      <w:sz w:val="48"/>
      <w:szCs w:val="48"/>
    </w:rPr>
  </w:style>
  <w:style w:type="paragraph" w:styleId="872">
    <w:name w:val="Subtitle"/>
    <w:basedOn w:val="1028"/>
    <w:next w:val="1028"/>
    <w:link w:val="873"/>
    <w:uiPriority w:val="11"/>
    <w:qFormat/>
    <w:pPr>
      <w:spacing w:before="200" w:after="200"/>
    </w:pPr>
    <w:rPr>
      <w:sz w:val="24"/>
      <w:szCs w:val="24"/>
    </w:rPr>
  </w:style>
  <w:style w:type="character" w:styleId="873">
    <w:name w:val="Subtitle Char"/>
    <w:link w:val="872"/>
    <w:uiPriority w:val="11"/>
    <w:rPr>
      <w:sz w:val="24"/>
      <w:szCs w:val="24"/>
    </w:rPr>
  </w:style>
  <w:style w:type="paragraph" w:styleId="874">
    <w:name w:val="Quote"/>
    <w:basedOn w:val="1028"/>
    <w:next w:val="1028"/>
    <w:link w:val="875"/>
    <w:uiPriority w:val="29"/>
    <w:qFormat/>
    <w:pPr>
      <w:ind w:left="720" w:right="720"/>
    </w:pPr>
    <w:rPr>
      <w:i/>
    </w:rPr>
  </w:style>
  <w:style w:type="character" w:styleId="875">
    <w:name w:val="Quote Char"/>
    <w:link w:val="874"/>
    <w:uiPriority w:val="29"/>
    <w:rPr>
      <w:i/>
    </w:rPr>
  </w:style>
  <w:style w:type="paragraph" w:styleId="876">
    <w:name w:val="Intense Quote"/>
    <w:basedOn w:val="1028"/>
    <w:next w:val="1028"/>
    <w:link w:val="8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7">
    <w:name w:val="Intense Quote Char"/>
    <w:link w:val="876"/>
    <w:uiPriority w:val="30"/>
    <w:rPr>
      <w:i/>
    </w:rPr>
  </w:style>
  <w:style w:type="paragraph" w:styleId="878">
    <w:name w:val="Header"/>
    <w:basedOn w:val="1028"/>
    <w:link w:val="8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9">
    <w:name w:val="Header Char"/>
    <w:link w:val="878"/>
    <w:uiPriority w:val="99"/>
  </w:style>
  <w:style w:type="paragraph" w:styleId="880">
    <w:name w:val="Footer"/>
    <w:basedOn w:val="1028"/>
    <w:link w:val="8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1">
    <w:name w:val="Footer Char"/>
    <w:link w:val="880"/>
    <w:uiPriority w:val="99"/>
  </w:style>
  <w:style w:type="paragraph" w:styleId="882">
    <w:name w:val="Caption"/>
    <w:basedOn w:val="1028"/>
    <w:next w:val="10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3">
    <w:name w:val="Caption Char"/>
    <w:basedOn w:val="882"/>
    <w:link w:val="880"/>
    <w:uiPriority w:val="99"/>
  </w:style>
  <w:style w:type="table" w:styleId="884">
    <w:name w:val="Table Grid"/>
    <w:basedOn w:val="10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>
    <w:name w:val="Table Grid Light"/>
    <w:basedOn w:val="10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>
    <w:name w:val="Plain Table 1"/>
    <w:basedOn w:val="10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7">
    <w:name w:val="Plain Table 2"/>
    <w:basedOn w:val="10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9">
    <w:name w:val="Plain Table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Plain Table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1">
    <w:name w:val="Grid Table 1 Light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4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3">
    <w:name w:val="Grid Table 4 - Accent 1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4">
    <w:name w:val="Grid Table 4 - Accent 2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5">
    <w:name w:val="Grid Table 4 - Accent 3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6">
    <w:name w:val="Grid Table 4 - Accent 4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7">
    <w:name w:val="Grid Table 4 - Accent 5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8">
    <w:name w:val="Grid Table 4 - Accent 6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9">
    <w:name w:val="Grid Table 5 Dark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0">
    <w:name w:val="Grid Table 5 Dark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23">
    <w:name w:val="Grid Table 5 Dark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24">
    <w:name w:val="Grid Table 5 Dark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26">
    <w:name w:val="Grid Table 6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7">
    <w:name w:val="Grid Table 6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8">
    <w:name w:val="Grid Table 6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9">
    <w:name w:val="Grid Table 6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0">
    <w:name w:val="Grid Table 6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1">
    <w:name w:val="Grid Table 6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2">
    <w:name w:val="Grid Table 6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3">
    <w:name w:val="Grid Table 7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8">
    <w:name w:val="List Table 2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9">
    <w:name w:val="List Table 2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0">
    <w:name w:val="List Table 2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1">
    <w:name w:val="List Table 2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2">
    <w:name w:val="List Table 2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3">
    <w:name w:val="List Table 2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4">
    <w:name w:val="List Table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5 Dark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6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6">
    <w:name w:val="List Table 6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7">
    <w:name w:val="List Table 6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8">
    <w:name w:val="List Table 6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9">
    <w:name w:val="List Table 6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0">
    <w:name w:val="List Table 6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1">
    <w:name w:val="List Table 6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2">
    <w:name w:val="List Table 7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3">
    <w:name w:val="List Table 7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84">
    <w:name w:val="List Table 7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85">
    <w:name w:val="List Table 7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86">
    <w:name w:val="List Table 7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87">
    <w:name w:val="List Table 7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88">
    <w:name w:val="List Table 7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89">
    <w:name w:val="Lined - Accent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0">
    <w:name w:val="Lined - Accent 1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91">
    <w:name w:val="Lined - Accent 2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2">
    <w:name w:val="Lined - Accent 3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3">
    <w:name w:val="Lined - Accent 4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4">
    <w:name w:val="Lined - Accent 5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95">
    <w:name w:val="Lined - Accent 6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6">
    <w:name w:val="Bordered &amp; Lined - Accent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7">
    <w:name w:val="Bordered &amp; Lined - Accent 1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98">
    <w:name w:val="Bordered &amp; Lined - Accent 2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9">
    <w:name w:val="Bordered &amp; Lined - Accent 3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0">
    <w:name w:val="Bordered &amp; Lined - Accent 4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1">
    <w:name w:val="Bordered &amp; Lined - Accent 5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02">
    <w:name w:val="Bordered &amp; Lined - Accent 6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3">
    <w:name w:val="Bordered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4">
    <w:name w:val="Bordered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5">
    <w:name w:val="Bordered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6">
    <w:name w:val="Bordered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7">
    <w:name w:val="Bordered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8">
    <w:name w:val="Bordered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9">
    <w:name w:val="Bordered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0">
    <w:name w:val="Hyperlink"/>
    <w:uiPriority w:val="99"/>
    <w:unhideWhenUsed/>
    <w:rPr>
      <w:color w:val="0000ff" w:themeColor="hyperlink"/>
      <w:u w:val="single"/>
    </w:rPr>
  </w:style>
  <w:style w:type="paragraph" w:styleId="1011">
    <w:name w:val="footnote text"/>
    <w:basedOn w:val="1028"/>
    <w:link w:val="1012"/>
    <w:uiPriority w:val="99"/>
    <w:semiHidden/>
    <w:unhideWhenUsed/>
    <w:pPr>
      <w:spacing w:after="40" w:line="240" w:lineRule="auto"/>
    </w:pPr>
    <w:rPr>
      <w:sz w:val="18"/>
    </w:rPr>
  </w:style>
  <w:style w:type="character" w:styleId="1012">
    <w:name w:val="Footnote Text Char"/>
    <w:link w:val="1011"/>
    <w:uiPriority w:val="99"/>
    <w:rPr>
      <w:sz w:val="18"/>
    </w:rPr>
  </w:style>
  <w:style w:type="character" w:styleId="1013">
    <w:name w:val="footnote reference"/>
    <w:uiPriority w:val="99"/>
    <w:unhideWhenUsed/>
    <w:rPr>
      <w:vertAlign w:val="superscript"/>
    </w:rPr>
  </w:style>
  <w:style w:type="paragraph" w:styleId="1014">
    <w:name w:val="endnote text"/>
    <w:basedOn w:val="1028"/>
    <w:link w:val="1015"/>
    <w:uiPriority w:val="99"/>
    <w:semiHidden/>
    <w:unhideWhenUsed/>
    <w:pPr>
      <w:spacing w:after="0" w:line="240" w:lineRule="auto"/>
    </w:pPr>
    <w:rPr>
      <w:sz w:val="20"/>
    </w:rPr>
  </w:style>
  <w:style w:type="character" w:styleId="1015">
    <w:name w:val="Endnote Text Char"/>
    <w:link w:val="1014"/>
    <w:uiPriority w:val="99"/>
    <w:rPr>
      <w:sz w:val="20"/>
    </w:rPr>
  </w:style>
  <w:style w:type="character" w:styleId="1016">
    <w:name w:val="endnote reference"/>
    <w:uiPriority w:val="99"/>
    <w:semiHidden/>
    <w:unhideWhenUsed/>
    <w:rPr>
      <w:vertAlign w:val="superscript"/>
    </w:rPr>
  </w:style>
  <w:style w:type="paragraph" w:styleId="1017">
    <w:name w:val="toc 1"/>
    <w:basedOn w:val="1028"/>
    <w:next w:val="1028"/>
    <w:uiPriority w:val="39"/>
    <w:unhideWhenUsed/>
    <w:pPr>
      <w:ind w:left="0" w:right="0" w:firstLine="0"/>
      <w:spacing w:after="57"/>
    </w:pPr>
  </w:style>
  <w:style w:type="paragraph" w:styleId="1018">
    <w:name w:val="toc 2"/>
    <w:basedOn w:val="1028"/>
    <w:next w:val="1028"/>
    <w:uiPriority w:val="39"/>
    <w:unhideWhenUsed/>
    <w:pPr>
      <w:ind w:left="283" w:right="0" w:firstLine="0"/>
      <w:spacing w:after="57"/>
    </w:pPr>
  </w:style>
  <w:style w:type="paragraph" w:styleId="1019">
    <w:name w:val="toc 3"/>
    <w:basedOn w:val="1028"/>
    <w:next w:val="1028"/>
    <w:uiPriority w:val="39"/>
    <w:unhideWhenUsed/>
    <w:pPr>
      <w:ind w:left="567" w:right="0" w:firstLine="0"/>
      <w:spacing w:after="57"/>
    </w:pPr>
  </w:style>
  <w:style w:type="paragraph" w:styleId="1020">
    <w:name w:val="toc 4"/>
    <w:basedOn w:val="1028"/>
    <w:next w:val="1028"/>
    <w:uiPriority w:val="39"/>
    <w:unhideWhenUsed/>
    <w:pPr>
      <w:ind w:left="850" w:right="0" w:firstLine="0"/>
      <w:spacing w:after="57"/>
    </w:pPr>
  </w:style>
  <w:style w:type="paragraph" w:styleId="1021">
    <w:name w:val="toc 5"/>
    <w:basedOn w:val="1028"/>
    <w:next w:val="1028"/>
    <w:uiPriority w:val="39"/>
    <w:unhideWhenUsed/>
    <w:pPr>
      <w:ind w:left="1134" w:right="0" w:firstLine="0"/>
      <w:spacing w:after="57"/>
    </w:pPr>
  </w:style>
  <w:style w:type="paragraph" w:styleId="1022">
    <w:name w:val="toc 6"/>
    <w:basedOn w:val="1028"/>
    <w:next w:val="1028"/>
    <w:uiPriority w:val="39"/>
    <w:unhideWhenUsed/>
    <w:pPr>
      <w:ind w:left="1417" w:right="0" w:firstLine="0"/>
      <w:spacing w:after="57"/>
    </w:pPr>
  </w:style>
  <w:style w:type="paragraph" w:styleId="1023">
    <w:name w:val="toc 7"/>
    <w:basedOn w:val="1028"/>
    <w:next w:val="1028"/>
    <w:uiPriority w:val="39"/>
    <w:unhideWhenUsed/>
    <w:pPr>
      <w:ind w:left="1701" w:right="0" w:firstLine="0"/>
      <w:spacing w:after="57"/>
    </w:pPr>
  </w:style>
  <w:style w:type="paragraph" w:styleId="1024">
    <w:name w:val="toc 8"/>
    <w:basedOn w:val="1028"/>
    <w:next w:val="1028"/>
    <w:uiPriority w:val="39"/>
    <w:unhideWhenUsed/>
    <w:pPr>
      <w:ind w:left="1984" w:right="0" w:firstLine="0"/>
      <w:spacing w:after="57"/>
    </w:pPr>
  </w:style>
  <w:style w:type="paragraph" w:styleId="1025">
    <w:name w:val="toc 9"/>
    <w:basedOn w:val="1028"/>
    <w:next w:val="1028"/>
    <w:uiPriority w:val="39"/>
    <w:unhideWhenUsed/>
    <w:pPr>
      <w:ind w:left="2268" w:right="0" w:firstLine="0"/>
      <w:spacing w:after="57"/>
    </w:pPr>
  </w:style>
  <w:style w:type="paragraph" w:styleId="1026">
    <w:name w:val="TOC Heading"/>
    <w:uiPriority w:val="39"/>
    <w:unhideWhenUsed/>
  </w:style>
  <w:style w:type="paragraph" w:styleId="1027">
    <w:name w:val="table of figures"/>
    <w:basedOn w:val="1028"/>
    <w:next w:val="1028"/>
    <w:uiPriority w:val="99"/>
    <w:unhideWhenUsed/>
    <w:pPr>
      <w:spacing w:after="0" w:afterAutospacing="0"/>
    </w:pPr>
  </w:style>
  <w:style w:type="paragraph" w:styleId="1028" w:default="1">
    <w:name w:val="Normal"/>
    <w:qFormat/>
  </w:style>
  <w:style w:type="table" w:styleId="10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0" w:default="1">
    <w:name w:val="No List"/>
    <w:uiPriority w:val="99"/>
    <w:semiHidden/>
    <w:unhideWhenUsed/>
  </w:style>
  <w:style w:type="paragraph" w:styleId="1031">
    <w:name w:val="No Spacing"/>
    <w:basedOn w:val="1028"/>
    <w:uiPriority w:val="1"/>
    <w:qFormat/>
    <w:pPr>
      <w:spacing w:after="0" w:line="240" w:lineRule="auto"/>
    </w:pPr>
  </w:style>
  <w:style w:type="paragraph" w:styleId="1032">
    <w:name w:val="List Paragraph"/>
    <w:basedOn w:val="1028"/>
    <w:uiPriority w:val="34"/>
    <w:qFormat/>
    <w:pPr>
      <w:contextualSpacing/>
      <w:ind w:left="720"/>
    </w:pPr>
  </w:style>
  <w:style w:type="character" w:styleId="103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stanovnika Nove Varoši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 xml:space="preserve">'Nova Varoš'!$C$20</c:f>
              <c:strCache>
                <c:ptCount val="1"/>
                <c:pt idx="0">
                  <c:v xml:space="preserve">Broj stanovnika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 xml:space="preserve">'Nova Varoš'!$B$21:$B$29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 xml:space="preserve">'Nova Varoš'!$C$21:$C$29</c:f>
              <c:numCache>
                <c:formatCode>General</c:formatCode>
                <c:ptCount val="9"/>
                <c:pt idx="0">
                  <c:v>20170</c:v>
                </c:pt>
                <c:pt idx="1">
                  <c:v>21848</c:v>
                </c:pt>
                <c:pt idx="2">
                  <c:v>24770</c:v>
                </c:pt>
                <c:pt idx="3">
                  <c:v>22740</c:v>
                </c:pt>
                <c:pt idx="4">
                  <c:v>22523</c:v>
                </c:pt>
                <c:pt idx="5">
                  <c:v>21812</c:v>
                </c:pt>
                <c:pt idx="6">
                  <c:v>20149</c:v>
                </c:pt>
                <c:pt idx="7">
                  <c:v>16638</c:v>
                </c:pt>
                <c:pt idx="8">
                  <c:v>13507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29"/>
        <c:axId val="511722030"/>
      </c:lineChart>
      <c:catAx>
        <c:axId val="511722029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30"/>
        <c:crosses val="autoZero"/>
        <c:auto val="1"/>
        <c:lblAlgn val="ctr"/>
        <c:lblOffset val="100"/>
        <c:noMultiLvlLbl val="0"/>
      </c:catAx>
      <c:valAx>
        <c:axId val="51172203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2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4021477" cy="2166342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u promena u starosnoj strukturi stanovnika Nove Varoši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 xml:space="preserve">'Nova Varoš'!$B$4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 xml:space="preserve">'Nova Varoš'!$C$3:$T$3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 xml:space="preserve">'Nova Varoš'!$C$4:$T$4</c:f>
              <c:numCache>
                <c:formatCode>General</c:formatCode>
                <c:ptCount val="18"/>
                <c:pt idx="0">
                  <c:v>1751</c:v>
                </c:pt>
                <c:pt idx="1">
                  <c:v>1653</c:v>
                </c:pt>
                <c:pt idx="2">
                  <c:v>1643</c:v>
                </c:pt>
                <c:pt idx="3">
                  <c:v>2017</c:v>
                </c:pt>
                <c:pt idx="4">
                  <c:v>2115</c:v>
                </c:pt>
                <c:pt idx="5">
                  <c:v>1990</c:v>
                </c:pt>
                <c:pt idx="6">
                  <c:v>1653</c:v>
                </c:pt>
                <c:pt idx="7">
                  <c:v>1252</c:v>
                </c:pt>
                <c:pt idx="8">
                  <c:v>1472</c:v>
                </c:pt>
                <c:pt idx="9">
                  <c:v>1684</c:v>
                </c:pt>
                <c:pt idx="10">
                  <c:v>1545</c:v>
                </c:pt>
                <c:pt idx="11">
                  <c:v>876</c:v>
                </c:pt>
                <c:pt idx="12">
                  <c:v>800</c:v>
                </c:pt>
                <c:pt idx="13">
                  <c:v>1000</c:v>
                </c:pt>
                <c:pt idx="14">
                  <c:v>979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 xml:space="preserve">'Nova Varoš'!$B$5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 xml:space="preserve">'Nova Varoš'!$C$3:$T$3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 xml:space="preserve">'Nova Varoš'!$C$5:$T$5</c:f>
              <c:numCache>
                <c:formatCode>General</c:formatCode>
                <c:ptCount val="18"/>
                <c:pt idx="0">
                  <c:v>1488</c:v>
                </c:pt>
                <c:pt idx="1">
                  <c:v>1638</c:v>
                </c:pt>
                <c:pt idx="2">
                  <c:v>1614</c:v>
                </c:pt>
                <c:pt idx="3">
                  <c:v>1551</c:v>
                </c:pt>
                <c:pt idx="4">
                  <c:v>1409</c:v>
                </c:pt>
                <c:pt idx="5">
                  <c:v>1499</c:v>
                </c:pt>
                <c:pt idx="6">
                  <c:v>1800</c:v>
                </c:pt>
                <c:pt idx="7">
                  <c:v>1759</c:v>
                </c:pt>
                <c:pt idx="8">
                  <c:v>1503</c:v>
                </c:pt>
                <c:pt idx="9">
                  <c:v>1146</c:v>
                </c:pt>
                <c:pt idx="10">
                  <c:v>1328</c:v>
                </c:pt>
                <c:pt idx="11">
                  <c:v>1483</c:v>
                </c:pt>
                <c:pt idx="12">
                  <c:v>1384</c:v>
                </c:pt>
                <c:pt idx="13">
                  <c:v>867</c:v>
                </c:pt>
                <c:pt idx="14">
                  <c:v>477</c:v>
                </c:pt>
                <c:pt idx="15">
                  <c:v>322</c:v>
                </c:pt>
                <c:pt idx="16">
                  <c:v>301</c:v>
                </c:pt>
                <c:pt idx="17">
                  <c:v>152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 xml:space="preserve">'Nova Varoš'!$B$6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 xml:space="preserve">'Nova Varoš'!$C$3:$T$3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 xml:space="preserve">'Nova Varoš'!$C$6:$T$6</c:f>
              <c:numCache>
                <c:formatCode>General</c:formatCode>
                <c:ptCount val="18"/>
                <c:pt idx="0">
                  <c:v>800</c:v>
                </c:pt>
                <c:pt idx="1">
                  <c:v>979</c:v>
                </c:pt>
                <c:pt idx="2">
                  <c:v>1323</c:v>
                </c:pt>
                <c:pt idx="3">
                  <c:v>1549</c:v>
                </c:pt>
                <c:pt idx="4">
                  <c:v>1425</c:v>
                </c:pt>
                <c:pt idx="5">
                  <c:v>1169</c:v>
                </c:pt>
                <c:pt idx="6">
                  <c:v>1131</c:v>
                </c:pt>
                <c:pt idx="7">
                  <c:v>1288</c:v>
                </c:pt>
                <c:pt idx="8">
                  <c:v>1591</c:v>
                </c:pt>
                <c:pt idx="9">
                  <c:v>1742</c:v>
                </c:pt>
                <c:pt idx="10">
                  <c:v>1443</c:v>
                </c:pt>
                <c:pt idx="11">
                  <c:v>1085</c:v>
                </c:pt>
                <c:pt idx="12">
                  <c:v>1167</c:v>
                </c:pt>
                <c:pt idx="13">
                  <c:v>1262</c:v>
                </c:pt>
                <c:pt idx="14">
                  <c:v>1072</c:v>
                </c:pt>
                <c:pt idx="15">
                  <c:v>540</c:v>
                </c:pt>
                <c:pt idx="16">
                  <c:v>323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 xml:space="preserve">'Nova Varoš'!$B$7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 xml:space="preserve">'Nova Varoš'!$C$3:$T$3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 xml:space="preserve">'Nova Varoš'!$C$7:$T$7</c:f>
              <c:numCache>
                <c:formatCode>General</c:formatCode>
                <c:ptCount val="18"/>
                <c:pt idx="0">
                  <c:v>563</c:v>
                </c:pt>
                <c:pt idx="1">
                  <c:v>735</c:v>
                </c:pt>
                <c:pt idx="2">
                  <c:v>742</c:v>
                </c:pt>
                <c:pt idx="3">
                  <c:v>890</c:v>
                </c:pt>
                <c:pt idx="4">
                  <c:v>1095</c:v>
                </c:pt>
                <c:pt idx="5">
                  <c:v>957</c:v>
                </c:pt>
                <c:pt idx="6">
                  <c:v>840</c:v>
                </c:pt>
                <c:pt idx="7">
                  <c:v>873</c:v>
                </c:pt>
                <c:pt idx="8">
                  <c:v>979</c:v>
                </c:pt>
                <c:pt idx="9">
                  <c:v>1184</c:v>
                </c:pt>
                <c:pt idx="10">
                  <c:v>1474</c:v>
                </c:pt>
                <c:pt idx="11">
                  <c:v>1611</c:v>
                </c:pt>
                <c:pt idx="12">
                  <c:v>1301</c:v>
                </c:pt>
                <c:pt idx="13">
                  <c:v>952</c:v>
                </c:pt>
                <c:pt idx="14">
                  <c:v>965</c:v>
                </c:pt>
                <c:pt idx="15">
                  <c:v>805</c:v>
                </c:pt>
                <c:pt idx="16">
                  <c:v>491</c:v>
                </c:pt>
                <c:pt idx="17">
                  <c:v>181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 xml:space="preserve">'Nova Varoš'!$B$8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 xml:space="preserve">'Nova Varoš'!$C$3:$T$3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 xml:space="preserve">'Nova Varoš'!$C$8:$T$8</c:f>
              <c:numCache>
                <c:formatCode>General</c:formatCode>
                <c:ptCount val="18"/>
                <c:pt idx="0">
                  <c:v>460</c:v>
                </c:pt>
                <c:pt idx="1">
                  <c:v>469</c:v>
                </c:pt>
                <c:pt idx="2">
                  <c:v>484</c:v>
                </c:pt>
                <c:pt idx="3">
                  <c:v>643</c:v>
                </c:pt>
                <c:pt idx="4">
                  <c:v>588</c:v>
                </c:pt>
                <c:pt idx="5">
                  <c:v>571</c:v>
                </c:pt>
                <c:pt idx="6">
                  <c:v>609</c:v>
                </c:pt>
                <c:pt idx="7">
                  <c:v>795</c:v>
                </c:pt>
                <c:pt idx="8">
                  <c:v>739</c:v>
                </c:pt>
                <c:pt idx="9">
                  <c:v>804</c:v>
                </c:pt>
                <c:pt idx="10">
                  <c:v>921</c:v>
                </c:pt>
                <c:pt idx="11">
                  <c:v>1089</c:v>
                </c:pt>
                <c:pt idx="12">
                  <c:v>1329</c:v>
                </c:pt>
                <c:pt idx="13">
                  <c:v>1422</c:v>
                </c:pt>
                <c:pt idx="14">
                  <c:v>1106</c:v>
                </c:pt>
                <c:pt idx="15">
                  <c:v>658</c:v>
                </c:pt>
                <c:pt idx="16">
                  <c:v>482</c:v>
                </c:pt>
                <c:pt idx="17">
                  <c:v>338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37"/>
        <c:axId val="511722038"/>
      </c:lineChart>
      <c:catAx>
        <c:axId val="511722037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38"/>
        <c:crosses val="autoZero"/>
        <c:auto val="1"/>
        <c:lblAlgn val="ctr"/>
        <c:lblOffset val="100"/>
        <c:noMultiLvlLbl val="0"/>
      </c:catAx>
      <c:valAx>
        <c:axId val="51172203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3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5066051" cy="2946272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2024-12-30T21:59:38Z</dcterms:modified>
</cp:coreProperties>
</file>